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15AB" w14:textId="0CD6912D" w:rsidR="007C432D" w:rsidRPr="005314D9" w:rsidRDefault="007C432D" w:rsidP="00937A1D">
      <w:pPr>
        <w:jc w:val="center"/>
        <w:rPr>
          <w:sz w:val="32"/>
          <w:szCs w:val="32"/>
        </w:rPr>
      </w:pPr>
      <w:r w:rsidRPr="005314D9">
        <w:rPr>
          <w:sz w:val="32"/>
          <w:szCs w:val="32"/>
        </w:rPr>
        <w:t>Resources for Expanding Internet Access to TN and Shelby County Residents</w:t>
      </w:r>
    </w:p>
    <w:p w14:paraId="1F9B3D79" w14:textId="1EDCC3C7" w:rsidR="00DC5474" w:rsidRPr="00937A1D" w:rsidRDefault="00DC5474" w:rsidP="00EC5E17">
      <w:pPr>
        <w:jc w:val="center"/>
        <w:rPr>
          <w:b/>
          <w:bCs/>
          <w:sz w:val="22"/>
          <w:szCs w:val="22"/>
        </w:rPr>
      </w:pPr>
      <w:r w:rsidRPr="00937A1D">
        <w:rPr>
          <w:b/>
          <w:bCs/>
          <w:sz w:val="22"/>
          <w:szCs w:val="22"/>
        </w:rPr>
        <w:t>COVID-19 Broadband Resources, Provided by TN Department of Economic and Community Development</w:t>
      </w:r>
    </w:p>
    <w:p w14:paraId="65A5E5C9" w14:textId="54C6541C" w:rsidR="00CD75B0" w:rsidRDefault="006B25C5" w:rsidP="00EC5E17">
      <w:pPr>
        <w:jc w:val="center"/>
        <w:rPr>
          <w:sz w:val="22"/>
          <w:szCs w:val="22"/>
        </w:rPr>
      </w:pPr>
      <w:r w:rsidRPr="00937A1D">
        <w:rPr>
          <w:sz w:val="22"/>
          <w:szCs w:val="22"/>
        </w:rPr>
        <w:t>(</w:t>
      </w:r>
      <w:r w:rsidR="00DC5474" w:rsidRPr="00937A1D">
        <w:rPr>
          <w:sz w:val="22"/>
          <w:szCs w:val="22"/>
        </w:rPr>
        <w:t>Full Details</w:t>
      </w:r>
      <w:r w:rsidRPr="00937A1D">
        <w:rPr>
          <w:sz w:val="22"/>
          <w:szCs w:val="22"/>
        </w:rPr>
        <w:t xml:space="preserve"> Available</w:t>
      </w:r>
      <w:r w:rsidR="00DC5474" w:rsidRPr="00937A1D">
        <w:rPr>
          <w:sz w:val="22"/>
          <w:szCs w:val="22"/>
        </w:rPr>
        <w:t xml:space="preserve"> </w:t>
      </w:r>
      <w:hyperlink r:id="rId10" w:history="1">
        <w:r w:rsidR="00DC5474" w:rsidRPr="00937A1D">
          <w:rPr>
            <w:rStyle w:val="Hyperlink"/>
            <w:sz w:val="22"/>
            <w:szCs w:val="22"/>
          </w:rPr>
          <w:t>HERE</w:t>
        </w:r>
      </w:hyperlink>
      <w:r w:rsidRPr="00937A1D">
        <w:rPr>
          <w:sz w:val="22"/>
          <w:szCs w:val="22"/>
        </w:rPr>
        <w:t>)</w:t>
      </w:r>
    </w:p>
    <w:p w14:paraId="57959807" w14:textId="77777777" w:rsidR="00EC5E17" w:rsidRPr="00937A1D" w:rsidRDefault="00EC5E17" w:rsidP="00EC5E17">
      <w:pPr>
        <w:jc w:val="center"/>
        <w:rPr>
          <w:sz w:val="22"/>
          <w:szCs w:val="22"/>
        </w:rPr>
      </w:pPr>
    </w:p>
    <w:p w14:paraId="43BDD5ED" w14:textId="41223BAD" w:rsidR="00512E17" w:rsidRPr="005314D9" w:rsidRDefault="0029591A" w:rsidP="00CD75B0">
      <w:pPr>
        <w:jc w:val="center"/>
        <w:rPr>
          <w:b/>
          <w:bCs/>
          <w:sz w:val="28"/>
          <w:szCs w:val="28"/>
          <w:u w:val="single"/>
        </w:rPr>
      </w:pPr>
      <w:r w:rsidRPr="005314D9">
        <w:rPr>
          <w:b/>
          <w:bCs/>
          <w:sz w:val="28"/>
          <w:szCs w:val="28"/>
          <w:u w:val="single"/>
        </w:rPr>
        <w:t>***</w:t>
      </w:r>
      <w:r w:rsidR="006B25C5" w:rsidRPr="005314D9">
        <w:rPr>
          <w:b/>
          <w:bCs/>
          <w:sz w:val="28"/>
          <w:szCs w:val="28"/>
          <w:u w:val="single"/>
        </w:rPr>
        <w:t xml:space="preserve">FAMILIES SHOULD </w:t>
      </w:r>
      <w:r w:rsidRPr="005314D9">
        <w:rPr>
          <w:b/>
          <w:bCs/>
          <w:sz w:val="28"/>
          <w:szCs w:val="28"/>
          <w:u w:val="single"/>
        </w:rPr>
        <w:t>START HERE***</w:t>
      </w:r>
    </w:p>
    <w:p w14:paraId="24155740" w14:textId="2D84CB49" w:rsidR="00546D8A" w:rsidRDefault="00546D8A" w:rsidP="00546D8A">
      <w:pPr>
        <w:pStyle w:val="ListParagraph"/>
        <w:numPr>
          <w:ilvl w:val="0"/>
          <w:numId w:val="4"/>
        </w:numPr>
      </w:pPr>
      <w:r>
        <w:t xml:space="preserve">Go to </w:t>
      </w:r>
      <w:hyperlink r:id="rId11" w:history="1">
        <w:r>
          <w:rPr>
            <w:rStyle w:val="Hyperlink"/>
          </w:rPr>
          <w:t>https://www.everyoneon.org/find-offers</w:t>
        </w:r>
      </w:hyperlink>
      <w:r>
        <w:t xml:space="preserve"> to find Internet AND Technology offers in your area</w:t>
      </w:r>
      <w:r w:rsidR="007F4B5F">
        <w:br/>
      </w:r>
    </w:p>
    <w:p w14:paraId="06593EE4" w14:textId="5A778B3B" w:rsidR="006546D8" w:rsidRDefault="006554E7" w:rsidP="00546D8A">
      <w:pPr>
        <w:pStyle w:val="ListParagraph"/>
        <w:numPr>
          <w:ilvl w:val="0"/>
          <w:numId w:val="4"/>
        </w:numPr>
      </w:pPr>
      <w:r>
        <w:t>Type in your Zip Code</w:t>
      </w:r>
      <w:r w:rsidR="007F4B5F">
        <w:br/>
      </w:r>
    </w:p>
    <w:p w14:paraId="6B3CB90B" w14:textId="77777777" w:rsidR="006B24F8" w:rsidRDefault="000005C8" w:rsidP="00546D8A">
      <w:pPr>
        <w:pStyle w:val="ListParagraph"/>
        <w:numPr>
          <w:ilvl w:val="0"/>
          <w:numId w:val="4"/>
        </w:numPr>
      </w:pPr>
      <w:r>
        <w:t>Check boxes that match your household situation</w:t>
      </w:r>
      <w:r w:rsidR="006B24F8">
        <w:t>, including:</w:t>
      </w:r>
    </w:p>
    <w:p w14:paraId="2A0F0FDC" w14:textId="15BB5C74" w:rsidR="006554E7" w:rsidRDefault="006B24F8" w:rsidP="006B24F8">
      <w:pPr>
        <w:pStyle w:val="ListParagraph"/>
        <w:numPr>
          <w:ilvl w:val="1"/>
          <w:numId w:val="4"/>
        </w:numPr>
      </w:pPr>
      <w:r>
        <w:t>1+ student(s) living in your home</w:t>
      </w:r>
    </w:p>
    <w:p w14:paraId="4FD67C5F" w14:textId="4D1ABABD" w:rsidR="00930E3A" w:rsidRDefault="00930E3A" w:rsidP="006B24F8">
      <w:pPr>
        <w:pStyle w:val="ListParagraph"/>
        <w:numPr>
          <w:ilvl w:val="1"/>
          <w:numId w:val="4"/>
        </w:numPr>
      </w:pPr>
      <w:r>
        <w:t>Low-Income (household of four: at or below $49,000 annual income)</w:t>
      </w:r>
    </w:p>
    <w:p w14:paraId="07DAB33B" w14:textId="37253CDD" w:rsidR="00853CE9" w:rsidRDefault="00BA045F" w:rsidP="00853CE9">
      <w:pPr>
        <w:pStyle w:val="ListParagraph"/>
        <w:numPr>
          <w:ilvl w:val="1"/>
          <w:numId w:val="4"/>
        </w:numPr>
      </w:pPr>
      <w:r>
        <w:t>Participate in the Free or Reduced Lunch Program at your school</w:t>
      </w:r>
      <w:r w:rsidR="00853CE9">
        <w:t>, etc.</w:t>
      </w:r>
      <w:r w:rsidR="007F4B5F">
        <w:br/>
      </w:r>
    </w:p>
    <w:p w14:paraId="208F7B99" w14:textId="2A9CA960" w:rsidR="00CD75B0" w:rsidRDefault="00CD75B0" w:rsidP="00CD75B0">
      <w:pPr>
        <w:pStyle w:val="ListParagraph"/>
        <w:numPr>
          <w:ilvl w:val="0"/>
          <w:numId w:val="4"/>
        </w:numPr>
      </w:pPr>
      <w:r>
        <w:t>Select from the list of available options</w:t>
      </w:r>
      <w:r w:rsidR="00807274">
        <w:t xml:space="preserve">. </w:t>
      </w:r>
      <w:r w:rsidR="00807274" w:rsidRPr="00915069">
        <w:rPr>
          <w:b/>
          <w:bCs/>
        </w:rPr>
        <w:t xml:space="preserve">Note there are offers for both Internet Access AND </w:t>
      </w:r>
      <w:r w:rsidR="006F737E" w:rsidRPr="00915069">
        <w:rPr>
          <w:b/>
          <w:bCs/>
        </w:rPr>
        <w:t>Devices</w:t>
      </w:r>
      <w:r w:rsidR="007F4B5F">
        <w:br/>
      </w:r>
    </w:p>
    <w:p w14:paraId="58E24E54" w14:textId="5385FCAD" w:rsidR="00656F9A" w:rsidRDefault="00656F9A" w:rsidP="00656F9A">
      <w:pPr>
        <w:pStyle w:val="ListParagraph"/>
        <w:numPr>
          <w:ilvl w:val="0"/>
          <w:numId w:val="4"/>
        </w:numPr>
      </w:pPr>
      <w:r>
        <w:t xml:space="preserve">If you have multiple options for internet service using the offer finder, you can use the table </w:t>
      </w:r>
      <w:r w:rsidR="00B64C4A">
        <w:t>on the next page</w:t>
      </w:r>
      <w:r>
        <w:t xml:space="preserve"> to compare your options and select the best match for your needs.</w:t>
      </w:r>
    </w:p>
    <w:p w14:paraId="563B6B31" w14:textId="0A60CA39" w:rsidR="00915069" w:rsidRDefault="00915069" w:rsidP="00915069"/>
    <w:p w14:paraId="3E3A971E" w14:textId="77777777" w:rsidR="00915069" w:rsidRDefault="00915069" w:rsidP="00915069"/>
    <w:p w14:paraId="0B919729" w14:textId="02856BD2" w:rsidR="00915069" w:rsidRDefault="00955952">
      <w:r>
        <w:br w:type="page"/>
      </w:r>
    </w:p>
    <w:p w14:paraId="4E54B05C" w14:textId="45607152" w:rsidR="00335FED" w:rsidRDefault="00C03B89" w:rsidP="006B25C5">
      <w:pPr>
        <w:rPr>
          <w:b/>
          <w:bCs/>
        </w:rPr>
      </w:pPr>
      <w:r>
        <w:rPr>
          <w:b/>
          <w:bCs/>
        </w:rPr>
        <w:lastRenderedPageBreak/>
        <w:t>Table</w:t>
      </w:r>
      <w:r w:rsidR="00D62A8D">
        <w:rPr>
          <w:b/>
          <w:bCs/>
        </w:rPr>
        <w:t>: Detailed</w:t>
      </w:r>
      <w:r>
        <w:rPr>
          <w:b/>
          <w:bCs/>
        </w:rPr>
        <w:t xml:space="preserve"> Breakdown of Service Providers and What They’re Offering:</w:t>
      </w:r>
      <w:r w:rsidR="00856AE9">
        <w:rPr>
          <w:b/>
          <w:bCs/>
        </w:rPr>
        <w:t xml:space="preserve"> </w:t>
      </w:r>
    </w:p>
    <w:p w14:paraId="62130113" w14:textId="471FC84D" w:rsidR="00C54675" w:rsidRDefault="00856AE9" w:rsidP="006B25C5">
      <w:r>
        <w:t>(</w:t>
      </w:r>
      <w:r w:rsidRPr="00335FED">
        <w:t xml:space="preserve">Info </w:t>
      </w:r>
      <w:r w:rsidR="00AC0EA5" w:rsidRPr="00335FED">
        <w:t xml:space="preserve">Sourced </w:t>
      </w:r>
      <w:r w:rsidRPr="00335FED">
        <w:t xml:space="preserve">from the </w:t>
      </w:r>
      <w:hyperlink r:id="rId12" w:history="1">
        <w:r w:rsidRPr="00E81CFB">
          <w:rPr>
            <w:rStyle w:val="Hyperlink"/>
          </w:rPr>
          <w:t>NDIA</w:t>
        </w:r>
      </w:hyperlink>
      <w:r w:rsidR="00335FED">
        <w:t xml:space="preserve"> and </w:t>
      </w:r>
      <w:hyperlink r:id="rId13" w:history="1">
        <w:r w:rsidR="00335FED" w:rsidRPr="00C955C1">
          <w:rPr>
            <w:rStyle w:val="Hyperlink"/>
          </w:rPr>
          <w:t xml:space="preserve">TN </w:t>
        </w:r>
        <w:r w:rsidR="00534749" w:rsidRPr="00C955C1">
          <w:rPr>
            <w:rStyle w:val="Hyperlink"/>
          </w:rPr>
          <w:t>ECD</w:t>
        </w:r>
      </w:hyperlink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3"/>
        <w:gridCol w:w="2392"/>
        <w:gridCol w:w="2561"/>
        <w:gridCol w:w="1520"/>
        <w:gridCol w:w="1520"/>
        <w:gridCol w:w="1520"/>
        <w:gridCol w:w="1390"/>
        <w:gridCol w:w="1384"/>
      </w:tblGrid>
      <w:tr w:rsidR="000F4B40" w14:paraId="1E323C5D" w14:textId="4397C386" w:rsidTr="000F4B40">
        <w:tc>
          <w:tcPr>
            <w:tcW w:w="731" w:type="pct"/>
          </w:tcPr>
          <w:p w14:paraId="25629D60" w14:textId="7033F301" w:rsidR="000F4B40" w:rsidRPr="00557C02" w:rsidRDefault="000F4B40" w:rsidP="006B25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57C02">
              <w:rPr>
                <w:rFonts w:cstheme="minorHAnsi"/>
                <w:b/>
                <w:bCs/>
                <w:sz w:val="22"/>
                <w:szCs w:val="22"/>
              </w:rPr>
              <w:t>Internet Service Provider</w:t>
            </w:r>
          </w:p>
        </w:tc>
        <w:tc>
          <w:tcPr>
            <w:tcW w:w="831" w:type="pct"/>
          </w:tcPr>
          <w:p w14:paraId="533C2173" w14:textId="1B99BDEA" w:rsidR="000F4B40" w:rsidRPr="00557C02" w:rsidRDefault="000F4B40" w:rsidP="006B25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57C02">
              <w:rPr>
                <w:rFonts w:cstheme="minorHAnsi"/>
                <w:b/>
                <w:bCs/>
                <w:sz w:val="22"/>
                <w:szCs w:val="22"/>
              </w:rPr>
              <w:t>Offer</w:t>
            </w:r>
          </w:p>
        </w:tc>
        <w:tc>
          <w:tcPr>
            <w:tcW w:w="890" w:type="pct"/>
          </w:tcPr>
          <w:p w14:paraId="40375092" w14:textId="03634479" w:rsidR="000F4B40" w:rsidRPr="00557C02" w:rsidRDefault="000F4B40" w:rsidP="006B25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57C02">
              <w:rPr>
                <w:rFonts w:cstheme="minorHAnsi"/>
                <w:b/>
                <w:bCs/>
                <w:sz w:val="22"/>
                <w:szCs w:val="22"/>
              </w:rPr>
              <w:t>Who Qualifies?</w:t>
            </w:r>
          </w:p>
        </w:tc>
        <w:tc>
          <w:tcPr>
            <w:tcW w:w="528" w:type="pct"/>
          </w:tcPr>
          <w:p w14:paraId="44DC0DBF" w14:textId="2608F1F7" w:rsidR="000F4B40" w:rsidRPr="00557C02" w:rsidRDefault="000F4B40" w:rsidP="006B25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57C02">
              <w:rPr>
                <w:rFonts w:cstheme="minorHAnsi"/>
                <w:b/>
                <w:bCs/>
                <w:sz w:val="22"/>
                <w:szCs w:val="22"/>
              </w:rPr>
              <w:t>Online Application</w:t>
            </w:r>
          </w:p>
        </w:tc>
        <w:tc>
          <w:tcPr>
            <w:tcW w:w="528" w:type="pct"/>
          </w:tcPr>
          <w:p w14:paraId="4908317A" w14:textId="012629CD" w:rsidR="000F4B40" w:rsidRPr="00557C02" w:rsidRDefault="000F4B40" w:rsidP="006B25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57C02">
              <w:rPr>
                <w:rFonts w:cstheme="minorHAnsi"/>
                <w:b/>
                <w:bCs/>
                <w:sz w:val="22"/>
                <w:szCs w:val="22"/>
              </w:rPr>
              <w:t>Phone Application</w:t>
            </w:r>
          </w:p>
        </w:tc>
        <w:tc>
          <w:tcPr>
            <w:tcW w:w="528" w:type="pct"/>
          </w:tcPr>
          <w:p w14:paraId="5A5EEE09" w14:textId="025440D6" w:rsidR="000F4B40" w:rsidRPr="00557C02" w:rsidRDefault="000F4B40" w:rsidP="006B25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57C02">
              <w:rPr>
                <w:rFonts w:cstheme="minorHAnsi"/>
                <w:b/>
                <w:bCs/>
                <w:sz w:val="22"/>
                <w:szCs w:val="22"/>
              </w:rPr>
              <w:t>Paper Application</w:t>
            </w:r>
          </w:p>
        </w:tc>
        <w:tc>
          <w:tcPr>
            <w:tcW w:w="483" w:type="pct"/>
          </w:tcPr>
          <w:p w14:paraId="53B747A1" w14:textId="16B21CB5" w:rsidR="000F4B40" w:rsidRPr="00557C02" w:rsidRDefault="000F4B40" w:rsidP="006B25C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57C02">
              <w:rPr>
                <w:rFonts w:cstheme="minorHAnsi"/>
                <w:b/>
                <w:bCs/>
                <w:sz w:val="22"/>
                <w:szCs w:val="22"/>
              </w:rPr>
              <w:t>Credit Check Required?</w:t>
            </w:r>
          </w:p>
        </w:tc>
        <w:tc>
          <w:tcPr>
            <w:tcW w:w="481" w:type="pct"/>
          </w:tcPr>
          <w:p w14:paraId="3034CBD0" w14:textId="39D51C6D" w:rsidR="000F4B40" w:rsidRPr="00557C02" w:rsidRDefault="000F4B40" w:rsidP="006B25C5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Deadline?</w:t>
            </w:r>
          </w:p>
        </w:tc>
      </w:tr>
      <w:tr w:rsidR="000F4B40" w14:paraId="68C90A41" w14:textId="1F2E504F" w:rsidTr="000F4B40">
        <w:tc>
          <w:tcPr>
            <w:tcW w:w="731" w:type="pct"/>
          </w:tcPr>
          <w:p w14:paraId="08426FA4" w14:textId="08FE5DA9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AT&amp;T</w:t>
            </w:r>
          </w:p>
        </w:tc>
        <w:tc>
          <w:tcPr>
            <w:tcW w:w="831" w:type="pct"/>
            <w:shd w:val="clear" w:color="auto" w:fill="auto"/>
          </w:tcPr>
          <w:p w14:paraId="1238E324" w14:textId="34D87DA6" w:rsidR="000F4B40" w:rsidRPr="00557C02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</w:rPr>
              <w:t>Two months of free service to new customers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557C02">
              <w:rPr>
                <w:rFonts w:cstheme="minorHAnsi"/>
                <w:sz w:val="20"/>
                <w:szCs w:val="20"/>
              </w:rPr>
              <w:t>$5/</w:t>
            </w:r>
            <w:proofErr w:type="spellStart"/>
            <w:r w:rsidRPr="00557C02">
              <w:rPr>
                <w:rFonts w:cstheme="minorHAnsi"/>
                <w:sz w:val="20"/>
                <w:szCs w:val="20"/>
              </w:rPr>
              <w:t>mo</w:t>
            </w:r>
            <w:proofErr w:type="spellEnd"/>
            <w:r w:rsidRPr="00557C02">
              <w:rPr>
                <w:rFonts w:cstheme="minorHAnsi"/>
                <w:sz w:val="20"/>
                <w:szCs w:val="20"/>
              </w:rPr>
              <w:t xml:space="preserve"> or $10/</w:t>
            </w:r>
            <w:proofErr w:type="spellStart"/>
            <w:r w:rsidRPr="00557C02">
              <w:rPr>
                <w:rFonts w:cstheme="minorHAnsi"/>
                <w:sz w:val="20"/>
                <w:szCs w:val="20"/>
              </w:rPr>
              <w:t>mo</w:t>
            </w:r>
            <w:proofErr w:type="spellEnd"/>
            <w:r w:rsidRPr="00557C0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options </w:t>
            </w:r>
            <w:r w:rsidRPr="00557C02">
              <w:rPr>
                <w:rFonts w:cstheme="minorHAnsi"/>
                <w:sz w:val="20"/>
                <w:szCs w:val="20"/>
              </w:rPr>
              <w:t>thereafter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F546954" w14:textId="0F9459AE" w:rsidR="000F4B40" w:rsidRPr="00557C02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</w:rPr>
              <w:t>Waiving all home internet data overage fees</w:t>
            </w:r>
          </w:p>
          <w:p w14:paraId="7E5D8409" w14:textId="2AD6114D" w:rsidR="000F4B40" w:rsidRPr="00557C02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</w:rPr>
              <w:t>No Deposit</w:t>
            </w:r>
          </w:p>
          <w:p w14:paraId="77C18E5D" w14:textId="610FB770" w:rsidR="000F4B40" w:rsidRPr="00557C02" w:rsidRDefault="000F4B40" w:rsidP="00B64C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</w:rPr>
              <w:t>Free Install</w:t>
            </w:r>
          </w:p>
        </w:tc>
        <w:tc>
          <w:tcPr>
            <w:tcW w:w="890" w:type="pct"/>
            <w:shd w:val="clear" w:color="auto" w:fill="auto"/>
          </w:tcPr>
          <w:p w14:paraId="5E6D4A94" w14:textId="6A158126" w:rsidR="000F4B40" w:rsidRPr="00557C02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</w:rPr>
              <w:t>Income 135% or less than federal poverty line, households participating in National School Lunch Program/Head Start</w:t>
            </w:r>
          </w:p>
          <w:p w14:paraId="28AF20DA" w14:textId="77777777" w:rsidR="000F4B40" w:rsidRPr="00557C02" w:rsidRDefault="000F4B40" w:rsidP="00B64C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577F70EE" w14:textId="4D223F47" w:rsidR="000F4B40" w:rsidRPr="009E5E69" w:rsidRDefault="005138A0" w:rsidP="00B64C4A">
            <w:pPr>
              <w:rPr>
                <w:rFonts w:cstheme="minorHAnsi"/>
                <w:sz w:val="20"/>
                <w:szCs w:val="20"/>
              </w:rPr>
            </w:pPr>
            <w:hyperlink r:id="rId14" w:anchor="!/" w:history="1">
              <w:r w:rsidR="000F4B40" w:rsidRPr="009E5E69">
                <w:rPr>
                  <w:rStyle w:val="Hyperlink"/>
                  <w:rFonts w:cstheme="minorHAnsi"/>
                  <w:sz w:val="20"/>
                  <w:szCs w:val="20"/>
                </w:rPr>
                <w:t>Application</w:t>
              </w:r>
            </w:hyperlink>
          </w:p>
        </w:tc>
        <w:tc>
          <w:tcPr>
            <w:tcW w:w="528" w:type="pct"/>
          </w:tcPr>
          <w:p w14:paraId="4F1C5112" w14:textId="54B33C5F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1-855-220-5211</w:t>
            </w:r>
          </w:p>
        </w:tc>
        <w:tc>
          <w:tcPr>
            <w:tcW w:w="528" w:type="pct"/>
          </w:tcPr>
          <w:p w14:paraId="0C5F0DFD" w14:textId="1F0FAE75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483" w:type="pct"/>
          </w:tcPr>
          <w:p w14:paraId="48A192B4" w14:textId="6604EFB7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81" w:type="pct"/>
          </w:tcPr>
          <w:p w14:paraId="4ECB9E25" w14:textId="704E2D45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</w:rPr>
              <w:t>April 30, 2020.</w:t>
            </w:r>
          </w:p>
        </w:tc>
      </w:tr>
      <w:tr w:rsidR="000F4B40" w14:paraId="3398FB91" w14:textId="4E7E0160" w:rsidTr="000F4B40">
        <w:tc>
          <w:tcPr>
            <w:tcW w:w="731" w:type="pct"/>
          </w:tcPr>
          <w:p w14:paraId="039B485E" w14:textId="66905FBE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Comcast</w:t>
            </w:r>
          </w:p>
        </w:tc>
        <w:tc>
          <w:tcPr>
            <w:tcW w:w="831" w:type="pct"/>
            <w:shd w:val="clear" w:color="auto" w:fill="auto"/>
          </w:tcPr>
          <w:p w14:paraId="57029828" w14:textId="6E580292" w:rsidR="000F4B40" w:rsidRPr="00557C02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</w:rPr>
              <w:t>First two months of service is free for new customers, then $9.95 per month plus tax.</w:t>
            </w:r>
          </w:p>
          <w:p w14:paraId="4B3D7A7E" w14:textId="3C955E5F" w:rsidR="000F4B40" w:rsidRPr="00557C02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</w:rPr>
              <w:t xml:space="preserve">No installation </w:t>
            </w:r>
            <w:proofErr w:type="gramStart"/>
            <w:r w:rsidRPr="00557C02">
              <w:rPr>
                <w:rFonts w:cstheme="minorHAnsi"/>
                <w:sz w:val="20"/>
                <w:szCs w:val="20"/>
              </w:rPr>
              <w:t>charge</w:t>
            </w:r>
            <w:proofErr w:type="gramEnd"/>
            <w:r w:rsidRPr="00557C02">
              <w:rPr>
                <w:rFonts w:cstheme="minorHAnsi"/>
                <w:sz w:val="20"/>
                <w:szCs w:val="20"/>
              </w:rPr>
              <w:t>. Wi-fi modem is free</w:t>
            </w:r>
            <w:r w:rsidR="0083640C">
              <w:rPr>
                <w:rFonts w:cstheme="minorHAnsi"/>
                <w:sz w:val="20"/>
                <w:szCs w:val="20"/>
              </w:rPr>
              <w:t>.</w:t>
            </w:r>
          </w:p>
          <w:p w14:paraId="7733EF13" w14:textId="77777777" w:rsidR="000F4B40" w:rsidRPr="00557C02" w:rsidRDefault="000F4B40" w:rsidP="00B64C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14:paraId="7E4FD02A" w14:textId="1B7987D4" w:rsidR="000F4B40" w:rsidRPr="000F4B40" w:rsidRDefault="00DD649C" w:rsidP="00B64C4A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Households eligible</w:t>
            </w:r>
            <w:r w:rsidR="000F4B40" w:rsidRPr="00557C0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for public assistance programs such as the National School Lunch Program, Housing Assistance, Medicaid, SNAP, SSI, and others.</w:t>
            </w:r>
          </w:p>
          <w:p w14:paraId="47A67E66" w14:textId="77777777" w:rsidR="000F4B40" w:rsidRPr="000F4B40" w:rsidRDefault="000F4B40" w:rsidP="00B64C4A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8" w:type="pct"/>
          </w:tcPr>
          <w:p w14:paraId="1E679D32" w14:textId="73CAFC73" w:rsidR="000F4B40" w:rsidRPr="009E5E69" w:rsidRDefault="005138A0" w:rsidP="00B64C4A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0F4B40" w:rsidRPr="009E5E69">
                <w:rPr>
                  <w:rStyle w:val="Hyperlink"/>
                  <w:rFonts w:cstheme="minorHAnsi"/>
                  <w:sz w:val="20"/>
                  <w:szCs w:val="20"/>
                </w:rPr>
                <w:t>Application</w:t>
              </w:r>
            </w:hyperlink>
          </w:p>
        </w:tc>
        <w:tc>
          <w:tcPr>
            <w:tcW w:w="528" w:type="pct"/>
          </w:tcPr>
          <w:p w14:paraId="06855A84" w14:textId="5E9877DD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F06EB8">
              <w:rPr>
                <w:rFonts w:cstheme="minorHAnsi"/>
                <w:sz w:val="20"/>
                <w:szCs w:val="20"/>
                <w:shd w:val="clear" w:color="auto" w:fill="FFFFFF"/>
              </w:rPr>
              <w:t>1-855-846-8376</w:t>
            </w:r>
          </w:p>
          <w:p w14:paraId="08065338" w14:textId="77777777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75B34CD4" w14:textId="0020C8D6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83" w:type="pct"/>
          </w:tcPr>
          <w:p w14:paraId="0FACFB2D" w14:textId="2662819E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81" w:type="pct"/>
          </w:tcPr>
          <w:p w14:paraId="53079EBC" w14:textId="78031907" w:rsidR="000F4B40" w:rsidRPr="009E5E69" w:rsidRDefault="00DD649C" w:rsidP="00B64C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30, 2020</w:t>
            </w:r>
          </w:p>
        </w:tc>
      </w:tr>
      <w:tr w:rsidR="000F4B40" w14:paraId="09EE4473" w14:textId="083831C3" w:rsidTr="000F4B40">
        <w:tc>
          <w:tcPr>
            <w:tcW w:w="731" w:type="pct"/>
          </w:tcPr>
          <w:p w14:paraId="0EF7B1E9" w14:textId="4B3DA0A3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Spectrum/Charter</w:t>
            </w:r>
          </w:p>
        </w:tc>
        <w:tc>
          <w:tcPr>
            <w:tcW w:w="831" w:type="pct"/>
            <w:shd w:val="clear" w:color="auto" w:fill="auto"/>
          </w:tcPr>
          <w:p w14:paraId="798E94D9" w14:textId="61787058" w:rsidR="000F4B40" w:rsidRPr="00557C02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  <w:shd w:val="clear" w:color="auto" w:fill="FFFFFF"/>
              </w:rPr>
              <w:t>Free Spectrum broadband and Wi-Fi access for 60 days to households with K-12 and/or college students who do not already have a Spectrum broadband subscription and at any service level up to 100 Mbps</w:t>
            </w:r>
          </w:p>
          <w:p w14:paraId="4F70EF04" w14:textId="6305B5A8" w:rsidR="000F4B40" w:rsidRPr="00557C02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</w:rPr>
              <w:t>Installation Fees Waived</w:t>
            </w:r>
          </w:p>
        </w:tc>
        <w:tc>
          <w:tcPr>
            <w:tcW w:w="890" w:type="pct"/>
            <w:shd w:val="clear" w:color="auto" w:fill="auto"/>
          </w:tcPr>
          <w:p w14:paraId="0F27E7B8" w14:textId="2A1B4F5A" w:rsidR="000F4B40" w:rsidRPr="000F4B40" w:rsidRDefault="00DD649C" w:rsidP="0095595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Households eligible for </w:t>
            </w:r>
            <w:r w:rsidR="000F4B40" w:rsidRPr="000F4B40">
              <w:rPr>
                <w:rFonts w:cstheme="minorHAnsi"/>
                <w:sz w:val="20"/>
                <w:szCs w:val="20"/>
                <w:shd w:val="clear" w:color="auto" w:fill="FFFFFF"/>
              </w:rPr>
              <w:t>National School Lunch Program (NSLP)</w:t>
            </w:r>
          </w:p>
          <w:p w14:paraId="67DA6587" w14:textId="72284D3C" w:rsidR="000F4B40" w:rsidRPr="00955952" w:rsidRDefault="000F4B40" w:rsidP="0095595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F4B40">
              <w:rPr>
                <w:rFonts w:cstheme="minorHAnsi"/>
                <w:sz w:val="20"/>
                <w:szCs w:val="20"/>
                <w:shd w:val="clear" w:color="auto" w:fill="FFFFFF"/>
              </w:rPr>
              <w:t>Community Eligibility Provision (CEP) of the NSLP</w:t>
            </w:r>
          </w:p>
        </w:tc>
        <w:tc>
          <w:tcPr>
            <w:tcW w:w="528" w:type="pct"/>
          </w:tcPr>
          <w:p w14:paraId="3A8E4F36" w14:textId="430045FB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528" w:type="pct"/>
          </w:tcPr>
          <w:p w14:paraId="00818D88" w14:textId="0237A31C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1-844-488-8395</w:t>
            </w:r>
          </w:p>
        </w:tc>
        <w:tc>
          <w:tcPr>
            <w:tcW w:w="528" w:type="pct"/>
          </w:tcPr>
          <w:p w14:paraId="3CE8F227" w14:textId="701B0AB6" w:rsidR="000F4B40" w:rsidRPr="009E5E69" w:rsidRDefault="005138A0" w:rsidP="00B64C4A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0F4B40" w:rsidRPr="009E5E69">
                <w:rPr>
                  <w:rStyle w:val="Hyperlink"/>
                  <w:rFonts w:cstheme="minorHAnsi"/>
                  <w:sz w:val="20"/>
                  <w:szCs w:val="20"/>
                </w:rPr>
                <w:t>English</w:t>
              </w:r>
            </w:hyperlink>
          </w:p>
          <w:p w14:paraId="10A6237E" w14:textId="77777777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</w:p>
          <w:p w14:paraId="051F55C1" w14:textId="29FA7D05" w:rsidR="000F4B40" w:rsidRPr="009E5E69" w:rsidRDefault="005138A0" w:rsidP="00B64C4A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0F4B40" w:rsidRPr="009E5E69">
                <w:rPr>
                  <w:rStyle w:val="Hyperlink"/>
                  <w:rFonts w:cstheme="minorHAnsi"/>
                  <w:sz w:val="20"/>
                  <w:szCs w:val="20"/>
                </w:rPr>
                <w:t>Spanish</w:t>
              </w:r>
            </w:hyperlink>
          </w:p>
        </w:tc>
        <w:tc>
          <w:tcPr>
            <w:tcW w:w="483" w:type="pct"/>
          </w:tcPr>
          <w:p w14:paraId="2EED8A57" w14:textId="0A2B7DFA" w:rsidR="000F4B40" w:rsidRPr="009E5E69" w:rsidRDefault="000F4B40" w:rsidP="00B64C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81" w:type="pct"/>
          </w:tcPr>
          <w:p w14:paraId="6ED9CBD2" w14:textId="70130F4D" w:rsidR="000F4B40" w:rsidRDefault="000F4B40" w:rsidP="00B64C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B40" w14:paraId="258D1D59" w14:textId="519C6423" w:rsidTr="000F4B40">
        <w:tc>
          <w:tcPr>
            <w:tcW w:w="731" w:type="pct"/>
          </w:tcPr>
          <w:p w14:paraId="12EB6235" w14:textId="3DECF8EC" w:rsidR="000F4B40" w:rsidRPr="009E5E69" w:rsidRDefault="000F4B40" w:rsidP="00955952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Century Link</w:t>
            </w:r>
          </w:p>
        </w:tc>
        <w:tc>
          <w:tcPr>
            <w:tcW w:w="831" w:type="pct"/>
            <w:shd w:val="clear" w:color="auto" w:fill="auto"/>
          </w:tcPr>
          <w:p w14:paraId="6B234D30" w14:textId="540AC9EC" w:rsidR="000F4B40" w:rsidRPr="00557C02" w:rsidRDefault="000F4B40" w:rsidP="00955952">
            <w:pPr>
              <w:rPr>
                <w:rFonts w:cstheme="minorHAnsi"/>
                <w:sz w:val="20"/>
                <w:szCs w:val="20"/>
              </w:rPr>
            </w:pPr>
            <w:r w:rsidRPr="00557C02">
              <w:rPr>
                <w:rFonts w:cstheme="minorHAnsi"/>
                <w:sz w:val="20"/>
                <w:szCs w:val="20"/>
                <w:shd w:val="clear" w:color="auto" w:fill="FFFFFF"/>
              </w:rPr>
              <w:t>Lifeline provides a discount of $9.25 on monthly service for qualified subscribers.</w:t>
            </w:r>
          </w:p>
        </w:tc>
        <w:tc>
          <w:tcPr>
            <w:tcW w:w="890" w:type="pct"/>
            <w:shd w:val="clear" w:color="auto" w:fill="auto"/>
          </w:tcPr>
          <w:p w14:paraId="445524A5" w14:textId="74C0082F" w:rsidR="000F4B40" w:rsidRPr="000F4B40" w:rsidRDefault="00DD649C" w:rsidP="000F4B4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="000F4B40" w:rsidRPr="000F4B40">
              <w:rPr>
                <w:rFonts w:cstheme="minorHAnsi"/>
                <w:sz w:val="20"/>
                <w:szCs w:val="20"/>
                <w:shd w:val="clear" w:color="auto" w:fill="FFFFFF"/>
              </w:rPr>
              <w:t>ncome at or below 135% of the Federal Poverty Guidelines or participate in Federal Public Housing Assistance, Food Stamps, Medicaid, Supplemental Security Income (SSI)</w:t>
            </w:r>
          </w:p>
        </w:tc>
        <w:tc>
          <w:tcPr>
            <w:tcW w:w="528" w:type="pct"/>
          </w:tcPr>
          <w:p w14:paraId="116BB1AD" w14:textId="55395560" w:rsidR="000F4B40" w:rsidRPr="009E5E69" w:rsidRDefault="005138A0" w:rsidP="00955952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0F4B40" w:rsidRPr="009E5E69">
                <w:rPr>
                  <w:rStyle w:val="Hyperlink"/>
                  <w:rFonts w:cstheme="minorHAnsi"/>
                  <w:sz w:val="20"/>
                  <w:szCs w:val="20"/>
                </w:rPr>
                <w:t>Application</w:t>
              </w:r>
            </w:hyperlink>
          </w:p>
        </w:tc>
        <w:tc>
          <w:tcPr>
            <w:tcW w:w="528" w:type="pct"/>
          </w:tcPr>
          <w:p w14:paraId="479E5E2A" w14:textId="77777777" w:rsidR="000F4B40" w:rsidRPr="009E5E69" w:rsidRDefault="000F4B40" w:rsidP="00955952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1-855-954-6546</w:t>
            </w:r>
          </w:p>
          <w:p w14:paraId="6B8BE441" w14:textId="257751DF" w:rsidR="000F4B40" w:rsidRPr="009E5E69" w:rsidRDefault="000F4B40" w:rsidP="009559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96107E7" w14:textId="5A16E8E6" w:rsidR="000F4B40" w:rsidRPr="009E5E69" w:rsidRDefault="005138A0" w:rsidP="00955952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0F4B40" w:rsidRPr="009E5E69">
                <w:rPr>
                  <w:rStyle w:val="Hyperlink"/>
                  <w:rFonts w:cstheme="minorHAnsi"/>
                  <w:sz w:val="20"/>
                  <w:szCs w:val="20"/>
                </w:rPr>
                <w:t>English</w:t>
              </w:r>
            </w:hyperlink>
          </w:p>
          <w:p w14:paraId="0037B4F8" w14:textId="77777777" w:rsidR="000F4B40" w:rsidRPr="009E5E69" w:rsidRDefault="000F4B40" w:rsidP="00955952">
            <w:pPr>
              <w:rPr>
                <w:rFonts w:cstheme="minorHAnsi"/>
                <w:sz w:val="20"/>
                <w:szCs w:val="20"/>
              </w:rPr>
            </w:pPr>
          </w:p>
          <w:p w14:paraId="70C08A78" w14:textId="35C6DB3B" w:rsidR="000F4B40" w:rsidRPr="009E5E69" w:rsidRDefault="005138A0" w:rsidP="0095595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0F4B40" w:rsidRPr="009E5E69">
                <w:rPr>
                  <w:rStyle w:val="Hyperlink"/>
                  <w:rFonts w:cstheme="minorHAnsi"/>
                  <w:sz w:val="20"/>
                  <w:szCs w:val="20"/>
                </w:rPr>
                <w:t>Spanish</w:t>
              </w:r>
            </w:hyperlink>
          </w:p>
        </w:tc>
        <w:tc>
          <w:tcPr>
            <w:tcW w:w="483" w:type="pct"/>
          </w:tcPr>
          <w:p w14:paraId="0494BF10" w14:textId="48F7255E" w:rsidR="000F4B40" w:rsidRPr="009E5E69" w:rsidRDefault="000F4B40" w:rsidP="009559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81" w:type="pct"/>
          </w:tcPr>
          <w:p w14:paraId="77BA66DB" w14:textId="77777777" w:rsidR="000F4B40" w:rsidRDefault="000F4B40" w:rsidP="009559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4B40" w14:paraId="601DECF8" w14:textId="78083AB4" w:rsidTr="000F4B40">
        <w:tc>
          <w:tcPr>
            <w:tcW w:w="731" w:type="pct"/>
          </w:tcPr>
          <w:p w14:paraId="4178E629" w14:textId="77777777" w:rsidR="000F4B40" w:rsidRPr="009E5E69" w:rsidRDefault="000F4B40" w:rsidP="00955952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PCs for People</w:t>
            </w:r>
          </w:p>
          <w:p w14:paraId="0AFF7B32" w14:textId="36857F1E" w:rsidR="000F4B40" w:rsidRPr="009E5E69" w:rsidRDefault="000F4B40" w:rsidP="00955952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(</w:t>
            </w:r>
            <w:r w:rsidR="004A7044">
              <w:rPr>
                <w:rFonts w:cstheme="minorHAnsi"/>
                <w:sz w:val="20"/>
                <w:szCs w:val="20"/>
              </w:rPr>
              <w:t>coverage provided through Sprint)</w:t>
            </w:r>
          </w:p>
        </w:tc>
        <w:tc>
          <w:tcPr>
            <w:tcW w:w="831" w:type="pct"/>
            <w:shd w:val="clear" w:color="auto" w:fill="auto"/>
          </w:tcPr>
          <w:p w14:paraId="620EA12F" w14:textId="77777777" w:rsidR="000F4B40" w:rsidRDefault="00257BEF" w:rsidP="00257BE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Pr="00257BEF">
              <w:rPr>
                <w:rFonts w:cstheme="minorHAnsi"/>
                <w:sz w:val="20"/>
                <w:szCs w:val="20"/>
                <w:shd w:val="clear" w:color="auto" w:fill="FFFFFF"/>
              </w:rPr>
              <w:t>nternet service starting at $15.00 per month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0625D34E" w14:textId="044B6B70" w:rsidR="008D533F" w:rsidRPr="00557C02" w:rsidRDefault="008D533F" w:rsidP="00257BE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Mobile Hotspots</w:t>
            </w:r>
          </w:p>
        </w:tc>
        <w:tc>
          <w:tcPr>
            <w:tcW w:w="890" w:type="pct"/>
            <w:shd w:val="clear" w:color="auto" w:fill="auto"/>
          </w:tcPr>
          <w:p w14:paraId="136787EC" w14:textId="077C31C2" w:rsidR="00FC0AA8" w:rsidRPr="00FC0AA8" w:rsidRDefault="00FC0AA8" w:rsidP="00FC0A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Income below</w:t>
            </w:r>
            <w:r w:rsidRPr="00FC0AA8">
              <w:rPr>
                <w:rFonts w:cstheme="minorHAnsi"/>
                <w:sz w:val="20"/>
                <w:szCs w:val="20"/>
              </w:rPr>
              <w:t xml:space="preserve"> 200% poverty level or be currently enrolled in an income-based government assistance program.</w:t>
            </w:r>
          </w:p>
          <w:p w14:paraId="74281C44" w14:textId="77777777" w:rsidR="000F4B40" w:rsidRPr="00557C02" w:rsidRDefault="000F4B40" w:rsidP="009559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121BA532" w14:textId="660D2FE7" w:rsidR="000F4B40" w:rsidRPr="007A521D" w:rsidRDefault="005138A0" w:rsidP="00955952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A860A6" w:rsidRPr="00A860A6">
                <w:rPr>
                  <w:rStyle w:val="Hyperlink"/>
                  <w:rFonts w:cstheme="minorHAnsi"/>
                  <w:sz w:val="20"/>
                  <w:szCs w:val="20"/>
                </w:rPr>
                <w:t>Application</w:t>
              </w:r>
            </w:hyperlink>
          </w:p>
          <w:p w14:paraId="41D1611A" w14:textId="564D37A2" w:rsidR="007A521D" w:rsidRPr="00BF307E" w:rsidRDefault="007A521D" w:rsidP="009559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521D">
              <w:rPr>
                <w:rFonts w:cstheme="minorHAnsi"/>
                <w:sz w:val="20"/>
                <w:szCs w:val="20"/>
              </w:rPr>
              <w:t>(Note that you</w:t>
            </w:r>
            <w:r w:rsidR="00A860A6">
              <w:rPr>
                <w:rFonts w:cstheme="minorHAnsi"/>
                <w:sz w:val="20"/>
                <w:szCs w:val="20"/>
              </w:rPr>
              <w:t xml:space="preserve"> </w:t>
            </w:r>
            <w:r w:rsidRPr="007A521D">
              <w:rPr>
                <w:rFonts w:cstheme="minorHAnsi"/>
                <w:sz w:val="20"/>
                <w:szCs w:val="20"/>
              </w:rPr>
              <w:t xml:space="preserve">have to </w:t>
            </w:r>
            <w:r w:rsidR="00A860A6">
              <w:rPr>
                <w:rFonts w:cstheme="minorHAnsi"/>
                <w:sz w:val="20"/>
                <w:szCs w:val="20"/>
              </w:rPr>
              <w:t>buy the</w:t>
            </w:r>
            <w:r w:rsidRPr="007A521D">
              <w:rPr>
                <w:rFonts w:cstheme="minorHAnsi"/>
                <w:sz w:val="20"/>
                <w:szCs w:val="20"/>
              </w:rPr>
              <w:t xml:space="preserve"> modem for this</w:t>
            </w:r>
            <w:r w:rsidR="00A860A6">
              <w:rPr>
                <w:rFonts w:cstheme="minorHAnsi"/>
                <w:sz w:val="20"/>
                <w:szCs w:val="20"/>
              </w:rPr>
              <w:t xml:space="preserve"> one)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</w:tcPr>
          <w:p w14:paraId="1886FACA" w14:textId="77777777" w:rsidR="000F4B40" w:rsidRPr="009E5E69" w:rsidRDefault="000F4B40" w:rsidP="009559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D4FD0C8" w14:textId="77777777" w:rsidR="000F4B40" w:rsidRPr="009E5E69" w:rsidRDefault="000F4B40" w:rsidP="009559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pct"/>
          </w:tcPr>
          <w:p w14:paraId="4A094160" w14:textId="3AD34190" w:rsidR="000F4B40" w:rsidRPr="009E5E69" w:rsidRDefault="00B86CAB" w:rsidP="009559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481" w:type="pct"/>
          </w:tcPr>
          <w:p w14:paraId="6EC0F45D" w14:textId="77B46F4D" w:rsidR="000F4B40" w:rsidRPr="009E5E69" w:rsidRDefault="00256F6E" w:rsidP="009559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</w:tr>
    </w:tbl>
    <w:p w14:paraId="0B4311E8" w14:textId="77777777" w:rsidR="00DD649C" w:rsidRDefault="00DD649C" w:rsidP="006B25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7"/>
        <w:gridCol w:w="2648"/>
        <w:gridCol w:w="2835"/>
        <w:gridCol w:w="1681"/>
        <w:gridCol w:w="1681"/>
        <w:gridCol w:w="1681"/>
        <w:gridCol w:w="1537"/>
      </w:tblGrid>
      <w:tr w:rsidR="00B64C4A" w:rsidRPr="009E5E69" w14:paraId="1FA64636" w14:textId="77777777" w:rsidTr="00CF4426">
        <w:tc>
          <w:tcPr>
            <w:tcW w:w="5000" w:type="pct"/>
            <w:gridSpan w:val="7"/>
          </w:tcPr>
          <w:p w14:paraId="283BF803" w14:textId="77777777" w:rsidR="00B64C4A" w:rsidRPr="005A6CFB" w:rsidRDefault="00B64C4A" w:rsidP="00CF44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A6CF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Free/Reduced Cost Mobile Plans</w:t>
            </w:r>
          </w:p>
        </w:tc>
      </w:tr>
      <w:tr w:rsidR="00B64C4A" w:rsidRPr="009E5E69" w14:paraId="2F87B2E3" w14:textId="77777777" w:rsidTr="00CF4426">
        <w:tc>
          <w:tcPr>
            <w:tcW w:w="809" w:type="pct"/>
          </w:tcPr>
          <w:p w14:paraId="48E04528" w14:textId="77777777" w:rsidR="00B64C4A" w:rsidRPr="009E5E69" w:rsidRDefault="00B64C4A" w:rsidP="00CF4426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Sprint</w:t>
            </w:r>
          </w:p>
        </w:tc>
        <w:tc>
          <w:tcPr>
            <w:tcW w:w="920" w:type="pct"/>
            <w:shd w:val="clear" w:color="auto" w:fill="auto"/>
          </w:tcPr>
          <w:p w14:paraId="2F3E25A6" w14:textId="77777777" w:rsidR="00DD649C" w:rsidRDefault="00B64C4A" w:rsidP="00DD649C">
            <w:pPr>
              <w:rPr>
                <w:sz w:val="20"/>
                <w:szCs w:val="20"/>
              </w:rPr>
            </w:pPr>
            <w:r w:rsidRPr="00DD649C">
              <w:rPr>
                <w:rFonts w:cstheme="minorHAnsi"/>
                <w:sz w:val="20"/>
                <w:szCs w:val="20"/>
                <w:shd w:val="clear" w:color="auto" w:fill="FFFFFF"/>
              </w:rPr>
              <w:t>All orders on sprint.com will get </w:t>
            </w:r>
            <w:r w:rsidRPr="00DD649C">
              <w:rPr>
                <w:sz w:val="20"/>
                <w:szCs w:val="20"/>
              </w:rPr>
              <w:t>free next-day shipping</w:t>
            </w:r>
          </w:p>
          <w:p w14:paraId="678FA065" w14:textId="77777777" w:rsidR="00DD649C" w:rsidRDefault="00B64C4A" w:rsidP="00DD649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D649C">
              <w:rPr>
                <w:rFonts w:cstheme="minorHAnsi"/>
                <w:sz w:val="20"/>
                <w:szCs w:val="20"/>
                <w:shd w:val="clear" w:color="auto" w:fill="FFFFFF"/>
              </w:rPr>
              <w:t>Providing Unlimited data for 60 days to customers with metered data plans (effective 3/18)</w:t>
            </w:r>
          </w:p>
          <w:p w14:paraId="53590E68" w14:textId="77777777" w:rsidR="00DD649C" w:rsidRDefault="00B64C4A" w:rsidP="00DD649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D649C">
              <w:rPr>
                <w:rFonts w:cstheme="minorHAnsi"/>
                <w:sz w:val="20"/>
                <w:szCs w:val="20"/>
                <w:shd w:val="clear" w:color="auto" w:fill="FFFFFF"/>
              </w:rPr>
              <w:t>Giving 20 GB of free mobile hotspot to customers with hotspot-capable devices (effective 3/18)</w:t>
            </w:r>
          </w:p>
          <w:p w14:paraId="708305B3" w14:textId="5D95B54C" w:rsidR="00B64C4A" w:rsidRPr="00DD649C" w:rsidRDefault="00B64C4A" w:rsidP="00DD649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D649C">
              <w:rPr>
                <w:rFonts w:cstheme="minorHAnsi"/>
                <w:sz w:val="20"/>
                <w:szCs w:val="20"/>
                <w:shd w:val="clear" w:color="auto" w:fill="FFFFFF"/>
              </w:rPr>
              <w:t>Waiving per-minute toll charges for international long-distance calls from the U.S. to CDC- defined Level 3 countries (effective 3/17)</w:t>
            </w:r>
          </w:p>
        </w:tc>
        <w:tc>
          <w:tcPr>
            <w:tcW w:w="985" w:type="pct"/>
            <w:shd w:val="clear" w:color="auto" w:fill="auto"/>
          </w:tcPr>
          <w:p w14:paraId="6D7E9B29" w14:textId="77777777" w:rsidR="00B64C4A" w:rsidRPr="00557C02" w:rsidRDefault="00B64C4A" w:rsidP="00CF4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</w:tcPr>
          <w:p w14:paraId="2D136CE8" w14:textId="77777777" w:rsidR="00B64C4A" w:rsidRPr="009E5E69" w:rsidRDefault="00B64C4A" w:rsidP="00CF4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</w:tcPr>
          <w:p w14:paraId="5D45C13E" w14:textId="77777777" w:rsidR="00B64C4A" w:rsidRPr="009E5E69" w:rsidRDefault="00B64C4A" w:rsidP="00CF4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</w:tcPr>
          <w:p w14:paraId="581353DE" w14:textId="77777777" w:rsidR="00B64C4A" w:rsidRPr="009E5E69" w:rsidRDefault="00B64C4A" w:rsidP="00CF4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pct"/>
          </w:tcPr>
          <w:p w14:paraId="78855E83" w14:textId="77777777" w:rsidR="00B64C4A" w:rsidRPr="009E5E69" w:rsidRDefault="00B64C4A" w:rsidP="00CF44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C4A" w:rsidRPr="009E5E69" w14:paraId="428BED63" w14:textId="77777777" w:rsidTr="00CF4426">
        <w:tc>
          <w:tcPr>
            <w:tcW w:w="809" w:type="pct"/>
          </w:tcPr>
          <w:p w14:paraId="03E68C81" w14:textId="77777777" w:rsidR="00B64C4A" w:rsidRPr="009E5E69" w:rsidRDefault="00B64C4A" w:rsidP="00CF4426">
            <w:pPr>
              <w:rPr>
                <w:rFonts w:cstheme="minorHAnsi"/>
                <w:sz w:val="20"/>
                <w:szCs w:val="20"/>
              </w:rPr>
            </w:pPr>
            <w:r w:rsidRPr="009E5E69">
              <w:rPr>
                <w:rFonts w:cstheme="minorHAnsi"/>
                <w:sz w:val="20"/>
                <w:szCs w:val="20"/>
              </w:rPr>
              <w:t>T-Mobile</w:t>
            </w:r>
          </w:p>
        </w:tc>
        <w:tc>
          <w:tcPr>
            <w:tcW w:w="920" w:type="pct"/>
            <w:shd w:val="clear" w:color="auto" w:fill="auto"/>
          </w:tcPr>
          <w:p w14:paraId="701051FE" w14:textId="58FBC709" w:rsidR="00B64C4A" w:rsidRPr="00DD649C" w:rsidRDefault="00B64C4A" w:rsidP="00CF442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D649C">
              <w:rPr>
                <w:rFonts w:cstheme="minorHAnsi"/>
                <w:sz w:val="20"/>
                <w:szCs w:val="20"/>
                <w:shd w:val="clear" w:color="auto" w:fill="FFFFFF"/>
              </w:rPr>
              <w:t>No data caps for mobile devices</w:t>
            </w:r>
          </w:p>
          <w:p w14:paraId="3D26607B" w14:textId="77777777" w:rsidR="00B64C4A" w:rsidRPr="00DD649C" w:rsidRDefault="00B64C4A" w:rsidP="00CF442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D649C">
              <w:rPr>
                <w:rFonts w:cstheme="minorHAnsi"/>
                <w:sz w:val="20"/>
                <w:szCs w:val="20"/>
                <w:shd w:val="clear" w:color="auto" w:fill="FFFFFF"/>
              </w:rPr>
              <w:t>$15 per month plus tax – half the price of T-Mobile’s lowest priced plan – for unlimited talk and text plus 2GB high-speed smartphone data, including access to T-Mobile’s nationwide 5G network.</w:t>
            </w:r>
          </w:p>
        </w:tc>
        <w:tc>
          <w:tcPr>
            <w:tcW w:w="985" w:type="pct"/>
            <w:shd w:val="clear" w:color="auto" w:fill="auto"/>
          </w:tcPr>
          <w:p w14:paraId="0450150C" w14:textId="77777777" w:rsidR="00B64C4A" w:rsidRPr="00557C02" w:rsidRDefault="00B64C4A" w:rsidP="00CF4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</w:tcPr>
          <w:p w14:paraId="0F440FFB" w14:textId="77777777" w:rsidR="00B64C4A" w:rsidRPr="009E5E69" w:rsidRDefault="00B64C4A" w:rsidP="00CF4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</w:tcPr>
          <w:p w14:paraId="4125C083" w14:textId="77777777" w:rsidR="00B64C4A" w:rsidRPr="009E5E69" w:rsidRDefault="00B64C4A" w:rsidP="00CF4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" w:type="pct"/>
          </w:tcPr>
          <w:p w14:paraId="6057417F" w14:textId="77777777" w:rsidR="00B64C4A" w:rsidRPr="009E5E69" w:rsidRDefault="00B64C4A" w:rsidP="00CF4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pct"/>
          </w:tcPr>
          <w:p w14:paraId="0E789229" w14:textId="77777777" w:rsidR="00B64C4A" w:rsidRPr="009E5E69" w:rsidRDefault="00B64C4A" w:rsidP="00CF44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29AAE9" w14:textId="443C1D8B" w:rsidR="00C7708B" w:rsidRDefault="00C7708B" w:rsidP="00BB29D4"/>
    <w:sectPr w:rsidR="00C7708B" w:rsidSect="00B64C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09664" w14:textId="77777777" w:rsidR="005138A0" w:rsidRDefault="005138A0" w:rsidP="003D267E">
      <w:r>
        <w:separator/>
      </w:r>
    </w:p>
  </w:endnote>
  <w:endnote w:type="continuationSeparator" w:id="0">
    <w:p w14:paraId="020A09AE" w14:textId="77777777" w:rsidR="005138A0" w:rsidRDefault="005138A0" w:rsidP="003D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BBA2F" w14:textId="77777777" w:rsidR="005138A0" w:rsidRDefault="005138A0" w:rsidP="003D267E">
      <w:r>
        <w:separator/>
      </w:r>
    </w:p>
  </w:footnote>
  <w:footnote w:type="continuationSeparator" w:id="0">
    <w:p w14:paraId="7C786FCF" w14:textId="77777777" w:rsidR="005138A0" w:rsidRDefault="005138A0" w:rsidP="003D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47A"/>
    <w:multiLevelType w:val="hybridMultilevel"/>
    <w:tmpl w:val="48E621E8"/>
    <w:lvl w:ilvl="0" w:tplc="4166441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54908"/>
    <w:multiLevelType w:val="hybridMultilevel"/>
    <w:tmpl w:val="3DAC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3AAA"/>
    <w:multiLevelType w:val="hybridMultilevel"/>
    <w:tmpl w:val="5C244A1C"/>
    <w:lvl w:ilvl="0" w:tplc="9B9AEAD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DA65B3"/>
    <w:multiLevelType w:val="multilevel"/>
    <w:tmpl w:val="AD18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4F0521"/>
    <w:multiLevelType w:val="hybridMultilevel"/>
    <w:tmpl w:val="2B826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86FB2"/>
    <w:multiLevelType w:val="multilevel"/>
    <w:tmpl w:val="AC2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10C8E"/>
    <w:multiLevelType w:val="multilevel"/>
    <w:tmpl w:val="9CEA3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E32E08"/>
    <w:multiLevelType w:val="hybridMultilevel"/>
    <w:tmpl w:val="C85AC4AE"/>
    <w:lvl w:ilvl="0" w:tplc="BBA0895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1C"/>
    <w:rsid w:val="000005C8"/>
    <w:rsid w:val="0001212A"/>
    <w:rsid w:val="00027BE0"/>
    <w:rsid w:val="00051B72"/>
    <w:rsid w:val="000710B3"/>
    <w:rsid w:val="000A26AD"/>
    <w:rsid w:val="000F4B40"/>
    <w:rsid w:val="00130E38"/>
    <w:rsid w:val="0014349B"/>
    <w:rsid w:val="00174EEF"/>
    <w:rsid w:val="001C6F3D"/>
    <w:rsid w:val="001D4776"/>
    <w:rsid w:val="001F1959"/>
    <w:rsid w:val="00215AAB"/>
    <w:rsid w:val="00247E63"/>
    <w:rsid w:val="00256F6E"/>
    <w:rsid w:val="00257BEF"/>
    <w:rsid w:val="00285140"/>
    <w:rsid w:val="0029591A"/>
    <w:rsid w:val="002A3F4F"/>
    <w:rsid w:val="002A5961"/>
    <w:rsid w:val="002A7622"/>
    <w:rsid w:val="003118A0"/>
    <w:rsid w:val="00335FED"/>
    <w:rsid w:val="003D267E"/>
    <w:rsid w:val="003E1873"/>
    <w:rsid w:val="00474A29"/>
    <w:rsid w:val="00487F74"/>
    <w:rsid w:val="00496D34"/>
    <w:rsid w:val="004A7044"/>
    <w:rsid w:val="00512E17"/>
    <w:rsid w:val="005138A0"/>
    <w:rsid w:val="005314D9"/>
    <w:rsid w:val="00534749"/>
    <w:rsid w:val="00535A96"/>
    <w:rsid w:val="00535C9C"/>
    <w:rsid w:val="00542882"/>
    <w:rsid w:val="00546D8A"/>
    <w:rsid w:val="00557C02"/>
    <w:rsid w:val="005A6CFB"/>
    <w:rsid w:val="005C6465"/>
    <w:rsid w:val="00643687"/>
    <w:rsid w:val="006546D8"/>
    <w:rsid w:val="006554E7"/>
    <w:rsid w:val="00656F9A"/>
    <w:rsid w:val="006769CA"/>
    <w:rsid w:val="006952EC"/>
    <w:rsid w:val="006A0CC3"/>
    <w:rsid w:val="006B24F8"/>
    <w:rsid w:val="006B25C5"/>
    <w:rsid w:val="006F32AB"/>
    <w:rsid w:val="006F737E"/>
    <w:rsid w:val="007110A8"/>
    <w:rsid w:val="00720BD3"/>
    <w:rsid w:val="0078245D"/>
    <w:rsid w:val="0078609E"/>
    <w:rsid w:val="007A521D"/>
    <w:rsid w:val="007C432D"/>
    <w:rsid w:val="007F4B5F"/>
    <w:rsid w:val="00807274"/>
    <w:rsid w:val="0083640C"/>
    <w:rsid w:val="00847CAA"/>
    <w:rsid w:val="00853CE9"/>
    <w:rsid w:val="00856AE9"/>
    <w:rsid w:val="008906B1"/>
    <w:rsid w:val="008A2116"/>
    <w:rsid w:val="008C4EBD"/>
    <w:rsid w:val="008D533F"/>
    <w:rsid w:val="00907DCC"/>
    <w:rsid w:val="00915069"/>
    <w:rsid w:val="00930E3A"/>
    <w:rsid w:val="0093262E"/>
    <w:rsid w:val="00937A1D"/>
    <w:rsid w:val="0095128D"/>
    <w:rsid w:val="00955952"/>
    <w:rsid w:val="00966E87"/>
    <w:rsid w:val="0097086F"/>
    <w:rsid w:val="009B33DC"/>
    <w:rsid w:val="009C2B9D"/>
    <w:rsid w:val="009E5E69"/>
    <w:rsid w:val="009E7601"/>
    <w:rsid w:val="00A860A6"/>
    <w:rsid w:val="00AC0EA5"/>
    <w:rsid w:val="00AE42D2"/>
    <w:rsid w:val="00AF5BE2"/>
    <w:rsid w:val="00B12AC1"/>
    <w:rsid w:val="00B64C4A"/>
    <w:rsid w:val="00B860ED"/>
    <w:rsid w:val="00B86CAB"/>
    <w:rsid w:val="00BA045F"/>
    <w:rsid w:val="00BB29D4"/>
    <w:rsid w:val="00BE790C"/>
    <w:rsid w:val="00BF307E"/>
    <w:rsid w:val="00BF53DC"/>
    <w:rsid w:val="00C03B89"/>
    <w:rsid w:val="00C165D6"/>
    <w:rsid w:val="00C245E5"/>
    <w:rsid w:val="00C508D9"/>
    <w:rsid w:val="00C54675"/>
    <w:rsid w:val="00C63138"/>
    <w:rsid w:val="00C73232"/>
    <w:rsid w:val="00C7708B"/>
    <w:rsid w:val="00C955C1"/>
    <w:rsid w:val="00CB7C1C"/>
    <w:rsid w:val="00CC4C20"/>
    <w:rsid w:val="00CD47CA"/>
    <w:rsid w:val="00CD75B0"/>
    <w:rsid w:val="00CD7AF5"/>
    <w:rsid w:val="00CE36F6"/>
    <w:rsid w:val="00D30C11"/>
    <w:rsid w:val="00D33F9B"/>
    <w:rsid w:val="00D62A8D"/>
    <w:rsid w:val="00DB1773"/>
    <w:rsid w:val="00DC5474"/>
    <w:rsid w:val="00DD649C"/>
    <w:rsid w:val="00E3208D"/>
    <w:rsid w:val="00E81CFB"/>
    <w:rsid w:val="00EA1F19"/>
    <w:rsid w:val="00EB17CB"/>
    <w:rsid w:val="00EC5E17"/>
    <w:rsid w:val="00EF70F7"/>
    <w:rsid w:val="00F06EB8"/>
    <w:rsid w:val="00F26A3E"/>
    <w:rsid w:val="00F31E9A"/>
    <w:rsid w:val="00F63EDC"/>
    <w:rsid w:val="00F75C63"/>
    <w:rsid w:val="00F93DD9"/>
    <w:rsid w:val="00FC0AA8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92BF6"/>
  <w15:chartTrackingRefBased/>
  <w15:docId w15:val="{629D8991-B274-184A-924A-8C03969B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3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3F9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34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D2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7E"/>
  </w:style>
  <w:style w:type="paragraph" w:styleId="Footer">
    <w:name w:val="footer"/>
    <w:basedOn w:val="Normal"/>
    <w:link w:val="FooterChar"/>
    <w:uiPriority w:val="99"/>
    <w:unhideWhenUsed/>
    <w:rsid w:val="003D2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7E"/>
  </w:style>
  <w:style w:type="character" w:styleId="Strong">
    <w:name w:val="Strong"/>
    <w:basedOn w:val="DefaultParagraphFont"/>
    <w:uiPriority w:val="22"/>
    <w:qFormat/>
    <w:rsid w:val="00C54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necd.com/news/stay-connected-during-quarantine/" TargetMode="External"/><Relationship Id="rId18" Type="http://schemas.openxmlformats.org/officeDocument/2006/relationships/hyperlink" Target="https://nationalverifier.servicenowservices.com/lifel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csrefurbished.com/sales/buyInternet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igitalinclusion.org/free-low-cost-internet-plans/" TargetMode="External"/><Relationship Id="rId17" Type="http://schemas.openxmlformats.org/officeDocument/2006/relationships/hyperlink" Target="https://www.spectrum.com/content/dam/spectrum/residential/en/pdfs/spectrum-internet-assist/Nov2019_SIA_Eligibility_Form_FINAL_REV%20without%20phone%20number_Espa%C3%B1ol%20V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ectrum.com/content/dam/spectrum/residential/en/pdfs/spectrum-internet-assist/Nov2019_SIA_Eligibility_Form_FINAL_REV.pdf" TargetMode="External"/><Relationship Id="rId20" Type="http://schemas.openxmlformats.org/officeDocument/2006/relationships/hyperlink" Target="https://www.centurylink.com/asset/aboutus/downloads/community/lifeline/NV_LL_Applications_Sp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ryoneon.org/find-off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ly.internetessential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n.gov/ecd/rural-development/tennessee-broadband-grant-initiative/tnecd-broadband-covid-19-resources.html" TargetMode="External"/><Relationship Id="rId19" Type="http://schemas.openxmlformats.org/officeDocument/2006/relationships/hyperlink" Target="https://www.centurylink.com/asset/aboutus/downloads/community/lifeline/NV_LL_Applications_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tt.com/shop/internet/acces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C6FCB8EBB5D4E98D68849D01D40DA" ma:contentTypeVersion="11" ma:contentTypeDescription="Create a new document." ma:contentTypeScope="" ma:versionID="9a95a5ece0aff906d952e1b6e5cf5014">
  <xsd:schema xmlns:xsd="http://www.w3.org/2001/XMLSchema" xmlns:xs="http://www.w3.org/2001/XMLSchema" xmlns:p="http://schemas.microsoft.com/office/2006/metadata/properties" xmlns:ns2="d163ba0c-8ccc-47c5-9315-cfc0de8b70db" xmlns:ns3="1ad6d5a4-445c-42b1-ad51-d0364d5f7448" targetNamespace="http://schemas.microsoft.com/office/2006/metadata/properties" ma:root="true" ma:fieldsID="aed173c5566781a955e14c6ce494eae5" ns2:_="" ns3:_="">
    <xsd:import namespace="d163ba0c-8ccc-47c5-9315-cfc0de8b70db"/>
    <xsd:import namespace="1ad6d5a4-445c-42b1-ad51-d0364d5f74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ba0c-8ccc-47c5-9315-cfc0de8b70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d5a4-445c-42b1-ad51-d0364d5f7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8064E-22AF-4BE3-8069-716E9D9CF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0A6D7-F161-47F2-B09D-32847187F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40D6E-FDD0-449B-93BE-A1AF5EF79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3ba0c-8ccc-47c5-9315-cfc0de8b70db"/>
    <ds:schemaRef ds:uri="1ad6d5a4-445c-42b1-ad51-d0364d5f7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Friedlander</dc:creator>
  <cp:keywords/>
  <dc:description/>
  <cp:lastModifiedBy>Benjamin Friedlander</cp:lastModifiedBy>
  <cp:revision>3</cp:revision>
  <dcterms:created xsi:type="dcterms:W3CDTF">2020-04-08T16:29:00Z</dcterms:created>
  <dcterms:modified xsi:type="dcterms:W3CDTF">2020-04-08T16:29:00Z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0x010100814C6FCB8EBB5D4E98D68849D01D40DA</vt:lpwstr>
  </property>
</Properties>
</file>